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408"/>
      </w:tblGrid>
      <w:tr w:rsidR="008564F0" w:rsidRPr="00862C9C" w:rsidTr="008564F0">
        <w:tc>
          <w:tcPr>
            <w:tcW w:w="3516" w:type="dxa"/>
            <w:shd w:val="clear" w:color="auto" w:fill="auto"/>
          </w:tcPr>
          <w:p w:rsidR="008564F0" w:rsidRPr="00862C9C" w:rsidRDefault="008564F0" w:rsidP="00CB0023">
            <w:pPr>
              <w:jc w:val="both"/>
            </w:pPr>
            <w:r w:rsidRPr="00862C9C">
              <w:t>Birimi</w:t>
            </w:r>
          </w:p>
        </w:tc>
        <w:tc>
          <w:tcPr>
            <w:tcW w:w="6408" w:type="dxa"/>
            <w:shd w:val="clear" w:color="auto" w:fill="auto"/>
          </w:tcPr>
          <w:p w:rsidR="008564F0" w:rsidRPr="00862C9C" w:rsidRDefault="008564F0" w:rsidP="00CB0023">
            <w:pPr>
              <w:jc w:val="both"/>
            </w:pPr>
            <w:r w:rsidRPr="00862C9C">
              <w:t>Strateji Geliştirme Daire Başkanlığı</w:t>
            </w:r>
          </w:p>
        </w:tc>
      </w:tr>
      <w:tr w:rsidR="008564F0" w:rsidRPr="00862C9C" w:rsidTr="008564F0">
        <w:tc>
          <w:tcPr>
            <w:tcW w:w="3516" w:type="dxa"/>
            <w:shd w:val="clear" w:color="auto" w:fill="auto"/>
          </w:tcPr>
          <w:p w:rsidR="008564F0" w:rsidRPr="00862C9C" w:rsidRDefault="008564F0" w:rsidP="00CB0023">
            <w:pPr>
              <w:jc w:val="both"/>
            </w:pPr>
            <w:r w:rsidRPr="00862C9C">
              <w:t>Kadro Unvanı</w:t>
            </w:r>
          </w:p>
        </w:tc>
        <w:tc>
          <w:tcPr>
            <w:tcW w:w="6408" w:type="dxa"/>
            <w:shd w:val="clear" w:color="auto" w:fill="auto"/>
          </w:tcPr>
          <w:p w:rsidR="008564F0" w:rsidRPr="00862C9C" w:rsidRDefault="008564F0" w:rsidP="00CB0023">
            <w:pPr>
              <w:jc w:val="both"/>
            </w:pPr>
            <w:r>
              <w:t>Şef</w:t>
            </w:r>
          </w:p>
        </w:tc>
      </w:tr>
      <w:tr w:rsidR="008564F0" w:rsidRPr="00862C9C" w:rsidTr="008564F0">
        <w:tc>
          <w:tcPr>
            <w:tcW w:w="3516" w:type="dxa"/>
            <w:shd w:val="clear" w:color="auto" w:fill="auto"/>
          </w:tcPr>
          <w:p w:rsidR="008564F0" w:rsidRPr="00862C9C" w:rsidRDefault="008564F0" w:rsidP="00CB0023">
            <w:pPr>
              <w:jc w:val="both"/>
            </w:pPr>
            <w:r w:rsidRPr="00862C9C">
              <w:t xml:space="preserve">Bağlı Bulunduğu Unvan </w:t>
            </w:r>
          </w:p>
        </w:tc>
        <w:tc>
          <w:tcPr>
            <w:tcW w:w="6408" w:type="dxa"/>
            <w:shd w:val="clear" w:color="auto" w:fill="auto"/>
          </w:tcPr>
          <w:p w:rsidR="008564F0" w:rsidRPr="00862C9C" w:rsidRDefault="008564F0" w:rsidP="00CB0023">
            <w:pPr>
              <w:jc w:val="both"/>
            </w:pPr>
            <w:r>
              <w:t>Şube Müdürü</w:t>
            </w:r>
          </w:p>
        </w:tc>
      </w:tr>
      <w:tr w:rsidR="008564F0" w:rsidRPr="00862C9C" w:rsidTr="008564F0">
        <w:tc>
          <w:tcPr>
            <w:tcW w:w="3516" w:type="dxa"/>
            <w:shd w:val="clear" w:color="auto" w:fill="auto"/>
            <w:vAlign w:val="center"/>
          </w:tcPr>
          <w:p w:rsidR="008564F0" w:rsidRPr="00862C9C" w:rsidRDefault="008564F0" w:rsidP="00CB0023">
            <w:pPr>
              <w:jc w:val="both"/>
              <w:rPr>
                <w:b/>
              </w:rPr>
            </w:pPr>
            <w:r w:rsidRPr="00862C9C">
              <w:t>Görev, Yetki ve Sorumlulukları</w:t>
            </w:r>
          </w:p>
        </w:tc>
        <w:tc>
          <w:tcPr>
            <w:tcW w:w="6408" w:type="dxa"/>
            <w:shd w:val="clear" w:color="auto" w:fill="auto"/>
          </w:tcPr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C5636">
              <w:t>Teslim alınan ödeme emri belgesi ve eki belgeler üzerinde, en geç ertesi iş günü içerisinde ilgili mevzuat hükümlerine uygun kontrolleri yapmak.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596BDA">
              <w:t>Kontrol edilen ödeme emri belgesi ve eki belgelerde, eksiklik veya maddi hata bulunması halinde düzeltilmek veya tamamlanmak üzere en</w:t>
            </w:r>
            <w:r>
              <w:t xml:space="preserve"> </w:t>
            </w:r>
            <w:r w:rsidRPr="00596BDA">
              <w:t>geç, tespit edildiği günü izleyen iş günü içinde gerekçelerini belirtm</w:t>
            </w:r>
            <w:r>
              <w:t>ek kaydıyla harcama birimine ia</w:t>
            </w:r>
            <w:r w:rsidRPr="00596BDA">
              <w:t>de edilmesini sağlamak.</w:t>
            </w:r>
          </w:p>
          <w:p w:rsidR="008564F0" w:rsidRPr="00E8259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E82593">
              <w:t>MYS üzerinden gönderilen ödeme emri belgelerini ıslak imzalı belgeler ile karşılaştırmak, bütçe tertibi yönünden kontrolünü yapmak.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192718">
              <w:t>Ödeme emri belgeleri üzerinde istihkak sahiplerinin vergi, sosyal sigorta prim borcu ve icra borcu bulunup bulunmadığını araştırmak, varsa mevzuata uygun olarak kesintileri yapmak ve göndermek.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192718">
              <w:t>Birimlerden gelen fazla ve yersiz ödemelerden dolayı kişilerden alacaklar hesabına alınması gereken tutarlar için hem muhasebe sistemi üzerinde, hem de manuel o</w:t>
            </w:r>
            <w:r>
              <w:t>rtamda alacak dosyalarını açmak ve takip ve tahsil işlemlerini yapmak.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t xml:space="preserve">Alacağı takip ve tahsil etme işlemi süresi içerisinde tahsilatı yapılamayan alacakların tahsilini sağlamak üzere Hukuk Müşavirliğine göndermek ve sonuçlarının periyodik olarak takip edilmesini sağlamak. 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t>Tahsili yapılan dosyaları kapamak.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t>Emanet hesaplarını periyodik olarak takip etmek, bütçeye gelir kaydedilmesi gerekenleri tespit ederek ilgilisi tarafından gelir kaydedilmesini sağlamak.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t>Banka ve cari hesaplarının tutulmasını ve mutabakat sağlanmasını takip etmek</w:t>
            </w:r>
            <w:r>
              <w:t>,</w:t>
            </w:r>
          </w:p>
          <w:p w:rsidR="008564F0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t>Ülke ekonomisi, akademik dünyadaki gelişmeleri takip etmek, mesleğine ilişkin yayınları sürekli izlem</w:t>
            </w:r>
            <w:r>
              <w:t>ek, bilgilerini güncelleştirmek,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>
              <w:t>İhale komisyonlarında mali üye olarak görev yapmak,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lastRenderedPageBreak/>
              <w:t>Faaliyetlerine ilişkin bilgilerin kullanıma hazır bir biçimde bulundurulmasını, rapor ve benzerlerinin dosyalanmasını sağlamak, gerektiğinde konuya ilişkin belge ve bilgileri sunmak,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t>Görev alanı ile ilgili tüm kayıt, evrak ve değerlerin korunmasından sorumlu olmak, arşiv oluşturmak ve düzenini sağlamak.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t>Yaptığı işin kalitesinden sorumlu olmak ve kendi sorumluluk alanı içerisinde gerçekleştirilen işin kalitesini kontrol etmek,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t>Birim çalışanlarının ödenek, tazminat, masraf, yolluk ve diğer mali haklar ve izin işlemlerinin ilgili birimler ile eşgüdüm içerisinde yürütülmesini sağlamak,</w:t>
            </w:r>
          </w:p>
          <w:p w:rsidR="008564F0" w:rsidRPr="00F40ED3" w:rsidRDefault="008564F0" w:rsidP="008564F0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F40ED3">
              <w:t>Daire Başkanı ve Şube Müdürü’nün vereceği diğer görevleri yapmak,</w:t>
            </w:r>
          </w:p>
        </w:tc>
      </w:tr>
      <w:tr w:rsidR="008564F0" w:rsidRPr="00862C9C" w:rsidTr="008564F0">
        <w:tc>
          <w:tcPr>
            <w:tcW w:w="3516" w:type="dxa"/>
            <w:shd w:val="clear" w:color="auto" w:fill="auto"/>
            <w:vAlign w:val="center"/>
          </w:tcPr>
          <w:p w:rsidR="008564F0" w:rsidRPr="00862C9C" w:rsidRDefault="008564F0" w:rsidP="00CB0023">
            <w:pPr>
              <w:jc w:val="both"/>
              <w:rPr>
                <w:b/>
              </w:rPr>
            </w:pPr>
            <w:r w:rsidRPr="00862C9C">
              <w:lastRenderedPageBreak/>
              <w:t>Görevin Gerektirdiği Nitelikler</w:t>
            </w:r>
          </w:p>
        </w:tc>
        <w:tc>
          <w:tcPr>
            <w:tcW w:w="6408" w:type="dxa"/>
            <w:shd w:val="clear" w:color="auto" w:fill="auto"/>
          </w:tcPr>
          <w:p w:rsidR="008564F0" w:rsidRPr="00862C9C" w:rsidRDefault="008564F0" w:rsidP="00CB0023">
            <w:pPr>
              <w:jc w:val="both"/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Pr="008F2903">
              <w:t>5018 sayılı Kamu Malî Yönetimi ve Kontrol Kanununun 60</w:t>
            </w:r>
            <w:r>
              <w:t>.</w:t>
            </w:r>
            <w:r w:rsidRPr="008F2903">
              <w:t xml:space="preserve"> maddesinin </w:t>
            </w:r>
            <w:r w:rsidRPr="00B9712E">
              <w:t>şartları taşımak</w:t>
            </w:r>
            <w:r>
              <w:t>.</w:t>
            </w:r>
          </w:p>
        </w:tc>
      </w:tr>
    </w:tbl>
    <w:p w:rsidR="002A1538" w:rsidRPr="00AC7FB6" w:rsidRDefault="002A1538" w:rsidP="00AC7FB6">
      <w:pPr>
        <w:rPr>
          <w:rFonts w:eastAsia="Calibri"/>
        </w:rPr>
      </w:pPr>
    </w:p>
    <w:sectPr w:rsidR="002A1538" w:rsidRPr="00AC7F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39" w:rsidRDefault="00633139" w:rsidP="005B4880">
      <w:r>
        <w:separator/>
      </w:r>
    </w:p>
  </w:endnote>
  <w:endnote w:type="continuationSeparator" w:id="0">
    <w:p w:rsidR="00633139" w:rsidRDefault="00633139" w:rsidP="005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8" w:rsidRDefault="00A8034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D234AF" w:rsidRDefault="007578AC" w:rsidP="007578AC">
          <w:pPr>
            <w:pStyle w:val="a"/>
            <w:rPr>
              <w:rFonts w:ascii="Times New Roman" w:eastAsia="Times New Roman" w:hAnsi="Times New Roman"/>
              <w:b/>
              <w:u w:val="single"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 xml:space="preserve">           </w:t>
          </w:r>
          <w:r w:rsidR="005B4880" w:rsidRPr="00D234AF">
            <w:rPr>
              <w:rFonts w:ascii="Times New Roman" w:eastAsia="Times New Roman" w:hAnsi="Times New Roman"/>
              <w:b/>
              <w:lang w:eastAsia="tr-TR"/>
            </w:rPr>
            <w:t>Sistem Onayı</w:t>
          </w:r>
          <w:r w:rsidR="005B4880" w:rsidRPr="00D234AF">
            <w:rPr>
              <w:rFonts w:ascii="Times New Roman" w:eastAsia="Times New Roman" w:hAnsi="Times New Roman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D234AF" w:rsidRDefault="005B4880" w:rsidP="007578AC">
          <w:pPr>
            <w:pStyle w:val="a"/>
            <w:jc w:val="center"/>
            <w:rPr>
              <w:rFonts w:ascii="Times New Roman" w:eastAsia="Times New Roman" w:hAnsi="Times New Roman"/>
              <w:b/>
              <w:lang w:eastAsia="tr-TR"/>
            </w:rPr>
          </w:pPr>
          <w:r w:rsidRPr="00D234AF">
            <w:rPr>
              <w:rFonts w:ascii="Times New Roman" w:eastAsia="Times New Roman" w:hAnsi="Times New Roman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D234AF" w:rsidRDefault="00A60824" w:rsidP="00A60824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     Reşat GAMSIZ</w:t>
          </w: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Pr="00D234AF" w:rsidRDefault="007578AC" w:rsidP="007578AC">
          <w:pPr>
            <w:pStyle w:val="a"/>
            <w:spacing w:line="276" w:lineRule="auto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 xml:space="preserve">     </w:t>
          </w:r>
          <w:r w:rsidR="005B4880" w:rsidRPr="00D234AF">
            <w:rPr>
              <w:rFonts w:ascii="Times New Roman" w:eastAsia="Times New Roman" w:hAnsi="Times New Roman"/>
              <w:lang w:eastAsia="tr-TR"/>
            </w:rPr>
            <w:t>Kalite Koordinatörlüğü</w:t>
          </w:r>
        </w:p>
        <w:p w:rsidR="007578AC" w:rsidRPr="00D234AF" w:rsidRDefault="007578AC" w:rsidP="007578AC">
          <w:pPr>
            <w:pStyle w:val="Altbilgi"/>
            <w:spacing w:line="276" w:lineRule="auto"/>
            <w:jc w:val="center"/>
            <w:rPr>
              <w:rFonts w:ascii="Times New Roman" w:hAnsi="Times New Roman" w:cs="Times New Roman"/>
              <w:lang w:eastAsia="tr-TR"/>
            </w:rPr>
          </w:pPr>
        </w:p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D234AF" w:rsidRDefault="005B4880" w:rsidP="007578AC">
          <w:pPr>
            <w:pStyle w:val="a"/>
            <w:spacing w:line="276" w:lineRule="auto"/>
            <w:jc w:val="center"/>
            <w:rPr>
              <w:rFonts w:ascii="Times New Roman" w:eastAsia="Times New Roman" w:hAnsi="Times New Roman"/>
              <w:lang w:eastAsia="tr-TR"/>
            </w:rPr>
          </w:pPr>
          <w:r w:rsidRPr="00D234AF">
            <w:rPr>
              <w:rFonts w:ascii="Times New Roman" w:eastAsia="Times New Roman" w:hAnsi="Times New Roman"/>
              <w:lang w:eastAsia="tr-TR"/>
            </w:rPr>
            <w:t>Prof. Dr. Bülent ŞENGÖRÜR</w:t>
          </w: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  <w:p w:rsidR="007578AC" w:rsidRPr="00D234AF" w:rsidRDefault="007578AC" w:rsidP="007578AC">
          <w:pPr>
            <w:pStyle w:val="Altbilgi"/>
            <w:spacing w:line="276" w:lineRule="auto"/>
            <w:rPr>
              <w:rFonts w:ascii="Times New Roman" w:hAnsi="Times New Roman" w:cs="Times New Roman"/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8" w:rsidRDefault="00A8034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39" w:rsidRDefault="00633139" w:rsidP="005B4880">
      <w:r>
        <w:separator/>
      </w:r>
    </w:p>
  </w:footnote>
  <w:footnote w:type="continuationSeparator" w:id="0">
    <w:p w:rsidR="00633139" w:rsidRDefault="00633139" w:rsidP="005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8" w:rsidRDefault="00A8034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D234AF" w:rsidRDefault="008564F0" w:rsidP="008564F0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ŞEF</w:t>
          </w: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D234AF" w:rsidRDefault="008564F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proofErr w:type="gramStart"/>
          <w:r>
            <w:rPr>
              <w:rFonts w:ascii="Times New Roman" w:eastAsia="Times New Roman" w:hAnsi="Times New Roman"/>
              <w:sz w:val="16"/>
              <w:lang w:eastAsia="tr-TR"/>
            </w:rPr>
            <w:t>SGD.GT</w:t>
          </w:r>
          <w:proofErr w:type="gramEnd"/>
          <w:r>
            <w:rPr>
              <w:rFonts w:ascii="Times New Roman" w:eastAsia="Times New Roman" w:hAnsi="Times New Roman"/>
              <w:sz w:val="16"/>
              <w:lang w:eastAsia="tr-TR"/>
            </w:rPr>
            <w:t>.007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01.01.2019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D234AF" w:rsidRDefault="00A80348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06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05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.</w:t>
          </w:r>
          <w:r>
            <w:rPr>
              <w:rFonts w:ascii="Times New Roman" w:eastAsia="Times New Roman" w:hAnsi="Times New Roman"/>
              <w:sz w:val="16"/>
              <w:lang w:eastAsia="tr-TR"/>
            </w:rPr>
            <w:t>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D234AF" w:rsidRDefault="00A80348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>
            <w:rPr>
              <w:rFonts w:ascii="Times New Roman" w:eastAsia="Times New Roman" w:hAnsi="Times New Roman"/>
              <w:sz w:val="16"/>
              <w:lang w:eastAsia="tr-TR"/>
            </w:rPr>
            <w:t>01</w:t>
          </w:r>
          <w:bookmarkStart w:id="0" w:name="_GoBack"/>
          <w:bookmarkEnd w:id="0"/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D234AF" w:rsidRDefault="005B4880" w:rsidP="005B4880">
          <w:pPr>
            <w:pStyle w:val="a"/>
            <w:rPr>
              <w:rFonts w:ascii="Times New Roman" w:eastAsia="Times New Roman" w:hAnsi="Times New Roman"/>
              <w:sz w:val="16"/>
              <w:lang w:eastAsia="tr-TR"/>
            </w:rPr>
          </w:pP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PAGE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A80348">
            <w:rPr>
              <w:rFonts w:ascii="Times New Roman" w:eastAsia="Times New Roman" w:hAnsi="Times New Roman"/>
              <w:noProof/>
              <w:sz w:val="16"/>
              <w:lang w:eastAsia="tr-TR"/>
            </w:rPr>
            <w:t>1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end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t>/</w: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begin"/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instrText xml:space="preserve"> NUMPAGES   \* MERGEFORMAT </w:instrText>
          </w:r>
          <w:r w:rsidRPr="00D234AF">
            <w:rPr>
              <w:rFonts w:ascii="Times New Roman" w:eastAsia="Times New Roman" w:hAnsi="Times New Roman"/>
              <w:sz w:val="16"/>
              <w:lang w:eastAsia="tr-TR"/>
            </w:rPr>
            <w:fldChar w:fldCharType="separate"/>
          </w:r>
          <w:r w:rsidR="00A80348">
            <w:rPr>
              <w:rFonts w:ascii="Times New Roman" w:eastAsia="Times New Roman" w:hAnsi="Times New Roman"/>
              <w:noProof/>
              <w:sz w:val="16"/>
              <w:lang w:eastAsia="tr-TR"/>
            </w:rPr>
            <w:t>2</w:t>
          </w:r>
          <w:r w:rsidRPr="00D234AF">
            <w:rPr>
              <w:rFonts w:ascii="Times New Roman" w:eastAsia="Times New Roman" w:hAnsi="Times New Roman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348" w:rsidRDefault="00A8034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EB"/>
    <w:multiLevelType w:val="hybridMultilevel"/>
    <w:tmpl w:val="53E62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5352C"/>
    <w:rsid w:val="000E7732"/>
    <w:rsid w:val="002A1538"/>
    <w:rsid w:val="005B4880"/>
    <w:rsid w:val="00633139"/>
    <w:rsid w:val="006F4180"/>
    <w:rsid w:val="00733AFC"/>
    <w:rsid w:val="007578AC"/>
    <w:rsid w:val="00780620"/>
    <w:rsid w:val="00801F09"/>
    <w:rsid w:val="008564F0"/>
    <w:rsid w:val="00967D49"/>
    <w:rsid w:val="009A08EA"/>
    <w:rsid w:val="00A20F51"/>
    <w:rsid w:val="00A4625E"/>
    <w:rsid w:val="00A60824"/>
    <w:rsid w:val="00A61FC5"/>
    <w:rsid w:val="00A80348"/>
    <w:rsid w:val="00AC7FB6"/>
    <w:rsid w:val="00AF2F46"/>
    <w:rsid w:val="00B532E6"/>
    <w:rsid w:val="00B71F32"/>
    <w:rsid w:val="00D234AF"/>
    <w:rsid w:val="00D51B9B"/>
    <w:rsid w:val="00DB5A4E"/>
    <w:rsid w:val="00DE4813"/>
    <w:rsid w:val="00EE5618"/>
    <w:rsid w:val="00F114A5"/>
    <w:rsid w:val="00FE4C2A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1">
    <w:name w:val="Üstbilgi Char1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1"/>
    <w:uiPriority w:val="99"/>
    <w:unhideWhenUsed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"/>
    <w:uiPriority w:val="99"/>
    <w:rsid w:val="005B4880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stbilgiChar">
    <w:name w:val="Üstbilgi Char"/>
    <w:uiPriority w:val="99"/>
    <w:locked/>
    <w:rsid w:val="005B4880"/>
    <w:rPr>
      <w:rFonts w:cs="Times New Roman"/>
    </w:rPr>
  </w:style>
  <w:style w:type="character" w:customStyle="1" w:styleId="AltbilgiChar">
    <w:name w:val="Altbilgi Char"/>
    <w:link w:val="a"/>
    <w:uiPriority w:val="99"/>
    <w:locked/>
    <w:rsid w:val="005B48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SERKAN BEKTAŞ</cp:lastModifiedBy>
  <cp:revision>6</cp:revision>
  <dcterms:created xsi:type="dcterms:W3CDTF">2019-04-19T05:43:00Z</dcterms:created>
  <dcterms:modified xsi:type="dcterms:W3CDTF">2019-04-25T08:01:00Z</dcterms:modified>
</cp:coreProperties>
</file>